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Types>
</file>

<file path=_rels/.rels>&#65279;<?xml version="1.0" encoding="utf-8"?><Relationships xmlns="http://schemas.openxmlformats.org/package/2006/relationships"><Relationship Type="http://schemas.openxmlformats.org/officeDocument/2006/relationships/officeDocument" Target="/word/document.xml" Id="R70b78ef3a6af454f" /></Relationships>
</file>

<file path=word/document.xml><?xml version="1.0" encoding="utf-8"?>
<w:document xmlns:w="http://schemas.openxmlformats.org/wordprocessingml/2006/main">
  <w:body>
    <w:tbl>
      <w:tblPr>
        <w:tblW w:w="9000" w:type="dxa"/>
        <w:tblBorders>
          <w:top w:val="nil"/>
          <w:bottom w:val="nil"/>
          <w:left w:val="nil"/>
          <w:right w:val="nil"/>
          <w:insideH w:val="nil"/>
          <w:insideV w:val="nil"/>
        </w:tblBorders>
        <w:tblCellSpacing w:w="60" w:type="dxa"/>
        <w:shd w:val="clear" w:color="auto" w:fill="E7F0F9"/>
      </w:tblPr>
      <w:tblGrid>
        <w:gridCol w:w="1200"/>
        <w:gridCol w:w="4500"/>
      </w:tblGrid>
      <w:tr>
        <w:tc>
          <w:tcPr>
            <w:tcW w:w="1200" w:type="pct"/>
            <w:shd w:val="clear" w:color="auto" w:fill="E7F0F9"/>
          </w:tcPr>
          <w:p>
            <w:pPr>
              <w:spacing w:before="0" w:after="0" w:line="240" w:lineRule="auto"/>
              <w:jc w:val="left"/>
            </w:pPr>
            <w:r>
              <w:rPr>
                <w:b/>
              </w:rPr>
              <w:t xml:space="preserve">RKP broj</w:t>
            </w:r>
          </w:p>
        </w:tc>
        <w:tc>
          <w:tcPr>
            <w:shd w:val="clear" w:color="auto" w:fill="E7F0F9"/>
          </w:tcPr>
          <w:p>
            <w:pPr>
              <w:spacing w:before="0" w:after="0" w:line="240" w:lineRule="auto"/>
              <w:jc w:val="left"/>
            </w:pPr>
            <w:r>
              <w:t xml:space="preserve">50784</w:t>
            </w:r>
          </w:p>
        </w:tc>
      </w:tr>
      <w:tr>
        <w:tc>
          <w:tcPr>
            <w:tcW w:w="1200" w:type="pct"/>
            <w:shd w:val="clear" w:color="auto" w:fill="E7F0F9"/>
          </w:tcPr>
          <w:p>
            <w:pPr>
              <w:spacing w:before="0" w:after="0" w:line="240" w:lineRule="auto"/>
              <w:jc w:val="left"/>
            </w:pPr>
            <w:r>
              <w:rPr>
                <w:b/>
              </w:rPr>
              <w:t xml:space="preserve">Naziv obveznika</w:t>
            </w:r>
          </w:p>
        </w:tc>
        <w:tc>
          <w:tcPr>
            <w:shd w:val="clear" w:color="auto" w:fill="E7F0F9"/>
          </w:tcPr>
          <w:p>
            <w:pPr>
              <w:spacing w:before="0" w:after="0" w:line="240" w:lineRule="auto"/>
              <w:jc w:val="left"/>
            </w:pPr>
            <w:r>
              <w:t xml:space="preserve">NARODNA KNJIŽNICA I ČITAONICA GUNJA</w:t>
            </w:r>
          </w:p>
        </w:tc>
      </w:tr>
      <w:tr>
        <w:tc>
          <w:tcPr>
            <w:tcW w:w="1200" w:type="pct"/>
            <w:shd w:val="clear" w:color="auto" w:fill="E7F0F9"/>
          </w:tcPr>
          <w:p>
            <w:pPr>
              <w:spacing w:before="0" w:after="0" w:line="240" w:lineRule="auto"/>
              <w:jc w:val="left"/>
            </w:pPr>
            <w:r>
              <w:rPr>
                <w:b/>
              </w:rPr>
              <w:t xml:space="preserve">Razina</w:t>
            </w:r>
          </w:p>
        </w:tc>
        <w:tc>
          <w:tcPr>
            <w:shd w:val="clear" w:color="auto" w:fill="E7F0F9"/>
          </w:tcPr>
          <w:p>
            <w:pPr>
              <w:spacing w:before="0" w:after="0" w:line="240" w:lineRule="auto"/>
              <w:jc w:val="left"/>
            </w:pPr>
            <w:r>
              <w:t xml:space="preserve">21</w:t>
            </w:r>
          </w:p>
        </w:tc>
      </w:tr>
    </w:tbl>
    <w:p>
      <w:r>
        <w:br/>
      </w:r>
    </w:p>
    <w:p>
      <w:pPr>
        <w:jc w:val="center"/>
        <w:pStyle w:val="Normal"/>
        <w:spacing w:line="240" w:lineRule="auto"/>
      </w:pPr>
      <w:r>
        <w:rPr>
          <w:b/>
          <w:sz w:val="28"/>
          <w:rFonts w:ascii="Times New Roman" w:hAnsi="Times New Roman"/>
        </w:rPr>
        <w:t xml:space="preserve">BILJEŠKE UZ FINANCIJSKE IZVJEŠTAJE</w:t>
      </w:r>
    </w:p>
    <w:p>
      <w:pPr>
        <w:jc w:val="center"/>
        <w:pStyle w:val="Normal"/>
        <w:spacing w:line="240" w:lineRule="auto"/>
      </w:pPr>
      <w:r>
        <w:rPr>
          <w:b/>
          <w:sz w:val="28"/>
          <w:rFonts w:ascii="Times New Roman" w:hAnsi="Times New Roman"/>
        </w:rPr>
        <w:t xml:space="preserve">ZA RAZDOBLJE</w:t>
      </w:r>
    </w:p>
    <w:p>
      <w:pPr>
        <w:jc w:val="center"/>
        <w:pStyle w:val="Normal"/>
        <w:spacing w:line="240" w:lineRule="auto"/>
      </w:pPr>
      <w:r>
        <w:rPr>
          <w:b/>
          <w:sz w:val="28"/>
          <w:rFonts w:ascii="Times New Roman" w:hAnsi="Times New Roman"/>
        </w:rPr>
        <w:t xml:space="preserve">I - XII 2025.</w:t>
      </w:r>
    </w:p>
    <w:p/>
    <w:p>
      <w:pPr>
        <w:jc w:val="center"/>
        <w:pStyle w:val="Normal"/>
        <w:spacing w:line="240" w:lineRule="auto"/>
        <w:keepNext/>
      </w:pPr>
      <w:r>
        <w:rPr>
          <w:b/>
          <w:sz w:val="28"/>
          <w:rFonts w:ascii="Times New Roman" w:hAnsi="Times New Roman"/>
        </w:rPr>
        <w:t xml:space="preserve">Izvještaj o prihodima i rashodima, primicima i izdacima</w:t>
      </w:r>
    </w:p>
    <w:p>
      <w:pPr>
        <w:jc w:val="center"/>
        <w:pStyle w:val="Normal"/>
        <w:spacing w:line="240" w:lineRule="auto"/>
        <w:keepNext/>
      </w:pPr>
      <w:r>
        <w:rPr>
          <w:sz w:val="28"/>
          <w:rFonts w:ascii="Times New Roman" w:hAnsi="Times New Roman"/>
        </w:rPr>
        <w:t xml:space="preserve">Bilješka 1.</w:t>
      </w:r>
    </w:p>
    <w:tbl>
      <w:tblPr>
        <w:tblBorders>
          <w:top w:val="single" w:color="BABABA" w:sz="12"/>
          <w:bottom w:val="single" w:color="BABABA" w:sz="12"/>
          <w:left w:val="single" w:color="BABABA" w:sz="12"/>
          <w:right w:val="single" w:color="BABABA" w:sz="12"/>
          <w:insideH w:val="single" w:color="BABABA" w:sz="8"/>
          <w:insideV w:val="single" w:color="DADADA" w:sz="8"/>
        </w:tblBorders>
        <w:tblW w:w="0" w:type="auto"/>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POSLOVANJA (šifre 61+62+63+64+65+66+67+68)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36.302,74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56.274,04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155,0</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POSLOVANJA (šifre 31+32+34+35+36+37+38)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28.140,90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46.266,20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164,4</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VIŠAK PRIHODA POSLOVANJA (šifre 6-Z005)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X001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8.161,84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10.007,84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122,6</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prodaje nefinancijske imovine (šifre 71+72+73+74)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nabavu nefinancijske imovine (šifre 41+42+43+44+45)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8.049,99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12.253,40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152,2</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PRIHODA OD NEFINANCIJSKE IMOVINE (šifre 4-7)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8.049,99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12.253,40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152,2</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Primici od financijske imovine i zaduživanja (šifre 81+82+83+84+85)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Izdaci za financijsku imovinu i otplate zajmova (šifre 51+52+53+54+55)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VIŠAK/MANJAK PRIMITAKA OD FINANCIJSKE IMOVINE I ZADUŽIVANJA (šifre 8-5, 5-8)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X003, Y003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PRIHODA I PRIMITAKA (šifre Y345-X678)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2.245,56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w:t>
            </w:r>
          </w:p>
        </w:tc>
      </w:tr>
    </w:tbl>
    <w:p>
      <w:pPr>
        <w:spacing w:before="0" w:after="0"/>
      </w:pPr>
    </w:p>
    <w:p>
      <w:r>
        <w:t xml:space="preserve">U razdoblju od 1. siječnja do 31. prosinca 2025. godine prihodi poslovanja ostvareni su u iznosu od 56.274,04 eura. Najznačajnije povećanje prihoda poslovanja ostvareno je od prihoda iz nadležnog proračuna za financiranje rashoda i od kapitalnih pomoći proračunskim korisnicima iz proračuna koji im nije nadležan. Najznačajnije smanjenje prihoda poslovanja bilježi se na prihodima tekućih pomoći proračuna koji im nije nadležan. Rashodi poslovanja u razdoblju od 1. siječnja do 31. prosinca 2025. ostvareni su u iznosu od 46.266,20 eura. Najznačajnije povećanje rashoda evidentirano je na rashodima za plaće zbog ukidanja podskupine računa 193 Kontinuirani rashodi budućih razdoblja, te rashodi za plaće sadrže plaće za 12/24. i 1-12/25. i na ostalim uslugama koje se odnose na usluge čišćenja poslovnih prostora. U navedenom razdoblju nema ostvarenih prihoda od prodaje nefinancijske imovine, dok su rashodi za nabavu nefinancijske imovine ostvareni u iznosu od 12.253,40 eura. Navedeni rashod odnosi se na nabavu knjiga i IT opreme. U navedenom razdoblju nije bilo ostvarenih primitaka i izdataka od financijske imovine i zaduživanja. U razdoblju od 1. siječnja do 31. prosinca 2025. godine ostvaren je višak prihoda poslovanja u iznosu od 10.007,84 euro, manjak prihoda od nefinancijske imovine u iznosu od 12.253,40 eura, slijedom čega je na kraju izvještajnog razdoblja ostvaren ukupan manjak prihoda i primitaka u iznosu od 2.245,56 eura koji će se pokriti u slijedećem razdoblju.</w:t>
      </w:r>
    </w:p>
    <w:p>
      <w:r>
        <w:br/>
      </w:r>
    </w:p>
    <w:p>
      <w:pPr>
        <w:jc w:val="center"/>
        <w:pStyle w:val="Normal"/>
        <w:spacing w:line="240" w:lineRule="auto"/>
        <w:keepNext/>
      </w:pPr>
      <w:r>
        <w:rPr>
          <w:b/>
          <w:sz w:val="28"/>
          <w:rFonts w:ascii="Times New Roman" w:hAnsi="Times New Roman"/>
        </w:rPr>
        <w:t xml:space="preserve">Bilanca</w:t>
      </w:r>
    </w:p>
    <w:p>
      <w:pPr>
        <w:jc w:val="center"/>
        <w:pStyle w:val="Normal"/>
        <w:spacing w:line="240" w:lineRule="auto"/>
        <w:keepNext/>
      </w:pPr>
      <w:r>
        <w:rPr>
          <w:sz w:val="28"/>
          <w:rFonts w:ascii="Times New Roman" w:hAnsi="Times New Roman"/>
        </w:rPr>
        <w:t xml:space="preserve">Bilješka 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1. siječnja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31. prosinca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0241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Knjige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0241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8.950,01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121.101,78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1353,1</w:t>
            </w:r>
          </w:p>
        </w:tc>
      </w:tr>
    </w:tbl>
    <w:p>
      <w:pPr>
        <w:spacing w:before="0" w:after="0"/>
      </w:pPr>
    </w:p>
    <w:p>
      <w:r>
        <w:t xml:space="preserve">Do značajnog financijskog povećanja stanja imovine je došlo iz razloga što je u prethodnim financijskim izvještajima iskazivana vrijednost imovine nabavljene u tekućoj godini, dok je vrijednost imovine u glavnoj knjizi iskazana u ukupnom iznosu od 121.101,78 eura.</w:t>
      </w:r>
    </w:p>
    <w:p/>
    <w:p>
      <w:pPr>
        <w:jc w:val="center"/>
        <w:pStyle w:val="Normal"/>
        <w:spacing w:line="240" w:lineRule="auto"/>
        <w:keepNext/>
      </w:pPr>
      <w:r>
        <w:rPr>
          <w:sz w:val="28"/>
          <w:rFonts w:ascii="Times New Roman" w:hAnsi="Times New Roman"/>
        </w:rPr>
        <w:t xml:space="preserve">Bilješka 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1. siječnja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31. prosinca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Vlastiti izvori (šifre 91 + 922 - 93 + 96 + 97)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11.042,10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123.435,85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1117,9</w:t>
            </w:r>
          </w:p>
        </w:tc>
      </w:tr>
    </w:tbl>
    <w:p>
      <w:pPr>
        <w:spacing w:before="0" w:after="0"/>
      </w:pPr>
    </w:p>
    <w:p>
      <w:r>
        <w:t xml:space="preserve">Do značajnog povećanja iznosa vlastitih izvora došlo je iz razloga što je u prethodnim financijskim izvještajima iskazana vrijednost vlastitih izvora samo u tekućoj godini dok je vrijednost vlastitih izvora u glavnoj knjizi iskazana u ukupnom iznosu od 125.089,34 eura.</w:t>
      </w:r>
    </w:p>
    <w:p/>
    <w:p>
      <w:pPr>
        <w:jc w:val="center"/>
        <w:pStyle w:val="Normal"/>
        <w:spacing w:line="240" w:lineRule="auto"/>
        <w:keepNext/>
      </w:pPr>
      <w:r>
        <w:rPr>
          <w:b/>
          <w:sz w:val="28"/>
          <w:rFonts w:ascii="Times New Roman" w:hAnsi="Times New Roman"/>
        </w:rPr>
        <w:t xml:space="preserve">Izvještaj o obvezama</w:t>
      </w:r>
    </w:p>
    <w:p>
      <w:pPr>
        <w:jc w:val="center"/>
        <w:pStyle w:val="Normal"/>
        <w:spacing w:line="240" w:lineRule="auto"/>
        <w:keepNext/>
      </w:pPr>
      <w:r>
        <w:rPr>
          <w:sz w:val="28"/>
          <w:rFonts w:ascii="Times New Roman" w:hAnsi="Times New Roman"/>
        </w:rPr>
        <w:t xml:space="preserve">Bilješka 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Iznos</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Stanje dospjelih obveza na kraju izvještajnog razdoblja (šifre V008+D23+D24 + 'D dio 25,26' + D27)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V007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r>
        <w:t xml:space="preserve">Početno stanje obveza iznosi 2.223,84 eura. U izvještajnom razdoblju nastale su nove obveze u iznosu od 56.295,76 eura, podmireno je ukupno 56.329,73 eura, te stanje obveza na kraju izvještajnog razdoblja iznosi 2.189,87 eura. Na kraju izvještajnog razdoblja nema dospjelih obveza, dok stanje nedospjelih obveza iznosi 2.189,87 eura i odnosi se na obvezu za plaće za 12. mjesec 2025.godine, nedospjele obveze dobavljačima za materijalne i financijske rashode. </w:t>
      </w:r>
    </w:p>
    <w:p/>
  </w:body>
</w:document>
</file>

<file path=word/styles.xml><?xml version="1.0" encoding="utf-8"?>
<w:styles xmlns:w="http://schemas.openxmlformats.org/wordprocessingml/2006/main">
  <w:docDefaults>
    <w:rPrDefault>
      <w:rPr>
        <w:rFonts w:ascii="Times New Roman" w:hAnsi="Times New Roman"/>
        <w:sz w:val="24"/>
      </w:rPr>
    </w:rPrDefault>
  </w:docDefaults>
  <w:style w:type="paragraph" w:styleId="Normal" w:default="true">
    <w:name w:val="Normal"/>
    <w:rPr>
      <w:rFonts w:ascii="Times New Roman" w:hAnsi="Times New Roman"/>
      <w:sz w:val="24"/>
    </w:rPr>
  </w:style>
</w:styles>
</file>

<file path=word/_rels/document.xml.rels>&#65279;<?xml version="1.0" encoding="utf-8"?><Relationships xmlns="http://schemas.openxmlformats.org/package/2006/relationships"><Relationship Type="http://schemas.openxmlformats.org/officeDocument/2006/relationships/styles" Target="/word/styles.xml" Id="Rd5bdcce4bb324096" /></Relationships>
</file>